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7f89d2ef2001c6e9778e819a76b03e78296e783"/>
    <w:p>
      <w:pPr>
        <w:pStyle w:val="Heading1"/>
      </w:pPr>
      <w:r>
        <w:t xml:space="preserve">Инструкция по внедрению платформы аттестации</w:t>
      </w:r>
    </w:p>
    <w:p>
      <w:pPr>
        <w:pStyle w:val="FirstParagraph"/>
      </w:pPr>
      <w:r>
        <w:rPr>
          <w:bCs/>
          <w:b/>
        </w:rPr>
        <w:t xml:space="preserve">Методический шаблон AssessLearn. Версия 1.0 от 12.06.2026. Требует адаптации и проверки юристом. Не является юридической услугой.</w:t>
      </w:r>
    </w:p>
    <w:p>
      <w:r>
        <w:pict>
          <v:rect style="width:0;height:1.5pt" o:hralign="center" o:hrstd="t" o:hr="t"/>
        </w:pict>
      </w:r>
    </w:p>
    <w:bookmarkStart w:id="20" w:name="рамка-применения"/>
    <w:p>
      <w:pPr>
        <w:pStyle w:val="Heading2"/>
      </w:pPr>
      <w:r>
        <w:t xml:space="preserve">Рамка применения</w:t>
      </w:r>
    </w:p>
    <w:p>
      <w:pPr>
        <w:pStyle w:val="FirstParagraph"/>
      </w:pPr>
      <w:r>
        <w:t xml:space="preserve">Пошаговый план постановки аттестации под протокол на правовую основу организации: от подготовки локальных актов до первой юридически значимой аттестации. Инструкция связывает между собой все документы комплекта и задает реалистичные сроки – без обещаний</w:t>
      </w:r>
      <w:r>
        <w:t xml:space="preserve"> </w:t>
      </w:r>
      <w:r>
        <w:t xml:space="preserve">“</w:t>
      </w:r>
      <w:r>
        <w:t xml:space="preserve">внедрить за день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Ключевой принцип: правовой контур создается</w:t>
      </w:r>
      <w:r>
        <w:t xml:space="preserve"> </w:t>
      </w:r>
      <w:r>
        <w:rPr>
          <w:bCs/>
          <w:b/>
        </w:rPr>
        <w:t xml:space="preserve">до</w:t>
      </w:r>
      <w:r>
        <w:t xml:space="preserve"> </w:t>
      </w:r>
      <w:r>
        <w:t xml:space="preserve">запуска аттестаций. Технически назначить аттестацию можно за минуты, но юридическую силу ее результаты получают только после принятия ЛНА, учета мнения представительного органа (где он есть), создания комиссии и сбора подписей об ознакомлении. Шаг</w:t>
      </w:r>
      <w:r>
        <w:t xml:space="preserve"> </w:t>
      </w:r>
      <w:r>
        <w:t xml:space="preserve">“</w:t>
      </w:r>
      <w:r>
        <w:t xml:space="preserve">запустить аттестацию</w:t>
      </w:r>
      <w:r>
        <w:t xml:space="preserve">”</w:t>
      </w:r>
      <w:r>
        <w:t xml:space="preserve"> </w:t>
      </w:r>
      <w:r>
        <w:t xml:space="preserve">не выполняется раньше шага</w:t>
      </w:r>
      <w:r>
        <w:t xml:space="preserve"> </w:t>
      </w:r>
      <w:r>
        <w:t xml:space="preserve">“</w:t>
      </w:r>
      <w:r>
        <w:t xml:space="preserve">собрать подписи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Поля, обязательные к адаптации:</w:t>
      </w:r>
      <w:r>
        <w:t xml:space="preserve"> </w:t>
      </w:r>
      <w:r>
        <w:t xml:space="preserve">профиль организации (есть профсоюз / нет; внедрено ЭКДО / нет), отрасль и категории работников, выбранная конфигурация фиксации в Платформе.</w:t>
      </w:r>
    </w:p>
    <w:p>
      <w:pPr>
        <w:pStyle w:val="BlockText"/>
      </w:pPr>
      <w:r>
        <w:t xml:space="preserve">Материалы носят информационный характер и не являются юридической консультацией. Применение требует адаптации к вашей организации и проверки юристом. Платформа документирует прохождение аттестации; соблюдение кадровой процедуры и решения остаются за работодателем.</w:t>
      </w:r>
    </w:p>
    <w:bookmarkEnd w:id="20"/>
    <w:bookmarkStart w:id="21" w:name="Xdcebd8a99ddd9f7e66f11632fee98a9855e247a"/>
    <w:p>
      <w:pPr>
        <w:pStyle w:val="Heading2"/>
      </w:pPr>
      <w:r>
        <w:t xml:space="preserve">Шаг 1. Подготовка и согласование пакета документов с юристом</w:t>
      </w:r>
    </w:p>
    <w:p>
      <w:pPr>
        <w:pStyle w:val="FirstParagraph"/>
      </w:pPr>
      <w:r>
        <w:t xml:space="preserve">Адаптируйте под организацию шаблоны комплекта: Положение о проведении аттестации, Приложение к ПВТР, лист ознакомления. Замените все поля в квадратных скобках, приведите перечень фиксируемых данных в Приложении к ПВТР в соответствие с той конфигурацией Платформы, которую вы реально включите (раздел</w:t>
      </w:r>
      <w:r>
        <w:t xml:space="preserve"> </w:t>
      </w:r>
      <w:r>
        <w:t xml:space="preserve">“</w:t>
      </w:r>
      <w:r>
        <w:t xml:space="preserve">Платформенная часть</w:t>
      </w:r>
      <w:r>
        <w:t xml:space="preserve">”</w:t>
      </w:r>
      <w:r>
        <w:t xml:space="preserve"> </w:t>
      </w:r>
      <w:r>
        <w:t xml:space="preserve">ниже). Согласуйте пакет с юристом по трудовому праву с учетом отрасли и категорий ваших работников.</w:t>
      </w:r>
    </w:p>
    <w:p>
      <w:pPr>
        <w:pStyle w:val="BodyText"/>
      </w:pPr>
      <w:r>
        <w:rPr>
          <w:iCs/>
          <w:i/>
        </w:rPr>
        <w:t xml:space="preserve">Результат шага: согласованные проекты ЛНА. Ориентир по времени: несколько рабочих дней на адаптацию плюс время юриста.</w:t>
      </w:r>
    </w:p>
    <w:bookmarkEnd w:id="21"/>
    <w:bookmarkStart w:id="22" w:name="Xa49f0938d78645766ec0c9cfcd3edaddcd66f00"/>
    <w:p>
      <w:pPr>
        <w:pStyle w:val="Heading2"/>
      </w:pPr>
      <w:r>
        <w:t xml:space="preserve">Шаг 2. Принятие Положения и изменений в ПВТР с учетом мнения представительного органа</w:t>
      </w:r>
    </w:p>
    <w:p>
      <w:pPr>
        <w:pStyle w:val="FirstParagraph"/>
      </w:pPr>
      <w:r>
        <w:t xml:space="preserve">Если в организации есть выборный представительный орган работников (профсоюз), проекты Положения и изменений в ПВТР направляются ему для учета мнения в порядке статьи 372 ТК РФ: представительный орган вправе в течение</w:t>
      </w:r>
      <w:r>
        <w:t xml:space="preserve"> </w:t>
      </w:r>
      <w:r>
        <w:rPr>
          <w:bCs/>
          <w:b/>
        </w:rPr>
        <w:t xml:space="preserve">пяти рабочих дней</w:t>
      </w:r>
      <w:r>
        <w:t xml:space="preserve"> </w:t>
      </w:r>
      <w:r>
        <w:t xml:space="preserve">направить мотивированное мнение; при несогласии проводятся консультации. Только после прохождения этой процедуры Положение утверждается приказом, а изменения вносятся в ПВТР.</w:t>
      </w:r>
    </w:p>
    <w:p>
      <w:pPr>
        <w:pStyle w:val="BodyText"/>
      </w:pPr>
      <w:r>
        <w:t xml:space="preserve">Если представительного органа нет, Положение утверждается приказом руководителя без этой процедуры.</w:t>
      </w:r>
    </w:p>
    <w:p>
      <w:pPr>
        <w:pStyle w:val="BodyText"/>
      </w:pPr>
      <w:r>
        <w:rPr>
          <w:iCs/>
          <w:i/>
        </w:rPr>
        <w:t xml:space="preserve">Результат шага: утвержденное приказом Положение и действующая редакция ПВТР. Ориентир по времени: при наличии профсоюза – до 1-2 недель с учетом цикла ст. 372; без профсоюза – 1-2 дня.</w:t>
      </w:r>
    </w:p>
    <w:bookmarkEnd w:id="22"/>
    <w:bookmarkStart w:id="23" w:name="шаг-3.-создание-аттестационной-комиссии"/>
    <w:p>
      <w:pPr>
        <w:pStyle w:val="Heading2"/>
      </w:pPr>
      <w:r>
        <w:t xml:space="preserve">Шаг 3. Создание аттестационной комиссии</w:t>
      </w:r>
    </w:p>
    <w:p>
      <w:pPr>
        <w:pStyle w:val="FirstParagraph"/>
      </w:pPr>
      <w:r>
        <w:t xml:space="preserve">Издайте приказ о создании постоянно действующей Аттестационной комиссии. Состав приведите в соответствие с Положением; при наличии профсоюза предусмотрите обязательное включение его представителя для случаев, когда результаты могут вести к увольнению по п. 3 ч. 1 ст. 81 (ч. 3 ст. 82 ТК РФ).</w:t>
      </w:r>
    </w:p>
    <w:p>
      <w:pPr>
        <w:pStyle w:val="BodyText"/>
      </w:pPr>
      <w:r>
        <w:rPr>
          <w:iCs/>
          <w:i/>
        </w:rPr>
        <w:t xml:space="preserve">Результат шага: приказ о создании комиссии, на который будут ссылаться приказы о назначении аттестации.</w:t>
      </w:r>
    </w:p>
    <w:bookmarkEnd w:id="23"/>
    <w:bookmarkStart w:id="24" w:name="X7e445cc5285d0b0271e21d34e87e94d79d9b2df"/>
    <w:p>
      <w:pPr>
        <w:pStyle w:val="Heading2"/>
      </w:pPr>
      <w:r>
        <w:t xml:space="preserve">Шаг 4. Ознакомление работников под подпись</w:t>
      </w:r>
    </w:p>
    <w:p>
      <w:pPr>
        <w:pStyle w:val="FirstParagraph"/>
      </w:pPr>
      <w:r>
        <w:t xml:space="preserve">Это критический шаг – без него вся конструкция не работает. Ознакомьте работников под подпись с Положением, с изменениями в ПВТР и отдельно – с составом фиксируемых при прохождении данных (лист ознакомления, в том числе адресный вариант с детализацией). Подписи собираются</w:t>
      </w:r>
      <w:r>
        <w:t xml:space="preserve"> </w:t>
      </w:r>
      <w:r>
        <w:rPr>
          <w:bCs/>
          <w:b/>
        </w:rPr>
        <w:t xml:space="preserve">до</w:t>
      </w:r>
      <w:r>
        <w:t xml:space="preserve"> </w:t>
      </w:r>
      <w:r>
        <w:t xml:space="preserve">назначения аттестаций.</w:t>
      </w:r>
    </w:p>
    <w:p>
      <w:pPr>
        <w:pStyle w:val="BodyText"/>
      </w:pPr>
      <w:r>
        <w:t xml:space="preserve">Если в организации внедрен электронный кадровый документооборот (ст. 22.1-22.3 ТК РФ), ознакомление возможно в электронной форме с применением предусмотренных видов электронной подписи; для дистанционных работников это особенно актуально.</w:t>
      </w:r>
    </w:p>
    <w:p>
      <w:pPr>
        <w:pStyle w:val="BodyText"/>
      </w:pPr>
      <w:r>
        <w:rPr>
          <w:iCs/>
          <w:i/>
        </w:rPr>
        <w:t xml:space="preserve">Результат шага: подписанные листы ознакомления, приобщенные к делу / личным делам. Ориентир по времени: зависит от численности; закладывайте на сбор подписей отдельное время.</w:t>
      </w:r>
    </w:p>
    <w:bookmarkEnd w:id="24"/>
    <w:bookmarkStart w:id="25" w:name="X621474251b6118cddca8082dc95023466eeb910"/>
    <w:p>
      <w:pPr>
        <w:pStyle w:val="Heading2"/>
      </w:pPr>
      <w:r>
        <w:t xml:space="preserve">Шаг 5. Настройка Платформы и назначение аттестации</w:t>
      </w:r>
    </w:p>
    <w:p>
      <w:pPr>
        <w:pStyle w:val="FirstParagraph"/>
      </w:pPr>
      <w:r>
        <w:t xml:space="preserve">Настройте Платформу в соответствии с принятыми ЛНА (раздел</w:t>
      </w:r>
      <w:r>
        <w:t xml:space="preserve"> </w:t>
      </w:r>
      <w:r>
        <w:t xml:space="preserve">“</w:t>
      </w:r>
      <w:r>
        <w:t xml:space="preserve">Платформенная часть</w:t>
      </w:r>
      <w:r>
        <w:t xml:space="preserve">”</w:t>
      </w:r>
      <w:r>
        <w:t xml:space="preserve">). Издайте приказ о назначении аттестации (с рамочным пунктом об автоматических назначениях, если используется автоназначение) и на его основании назначьте аттестацию работникам в системе. Направьте уведомления; при необходимости продублируйте бумажным уведомлением. Соблюдайте срок заблаговременности, установленный Положением.</w:t>
      </w:r>
    </w:p>
    <w:p>
      <w:pPr>
        <w:pStyle w:val="BodyText"/>
      </w:pPr>
      <w:r>
        <w:rPr>
          <w:iCs/>
          <w:i/>
        </w:rPr>
        <w:t xml:space="preserve">Результат шага: назначенные аттестации, направленные уведомления.</w:t>
      </w:r>
    </w:p>
    <w:bookmarkEnd w:id="25"/>
    <w:bookmarkStart w:id="26" w:name="Xff6f8cc248b0b10008de42d26e12085792a7fbf"/>
    <w:p>
      <w:pPr>
        <w:pStyle w:val="Heading2"/>
      </w:pPr>
      <w:r>
        <w:t xml:space="preserve">Шаг 6. Проведение, рассмотрение комиссией, протокол</w:t>
      </w:r>
    </w:p>
    <w:p>
      <w:pPr>
        <w:pStyle w:val="FirstParagraph"/>
      </w:pPr>
      <w:r>
        <w:t xml:space="preserve">После прохождения и истечения срока (с учетом попыток) Платформа формирует протоколы прохождения. Аттестационная комиссия проводит заседание, рассматривает совокупность материалов и оформляет решения протоколом и аттестационными листами. Работники знакомятся с результатами под подпись. Кадровые решения (при необходимости) принимаются далее по соответствующему треку с использованием чек-листа процедуры.</w:t>
      </w:r>
    </w:p>
    <w:p>
      <w:pPr>
        <w:pStyle w:val="BodyText"/>
      </w:pPr>
      <w:r>
        <w:rPr>
          <w:iCs/>
          <w:i/>
        </w:rPr>
        <w:t xml:space="preserve">Результат шага: оформленные решения комиссии – основание для любых последующих кадровых действий.</w:t>
      </w:r>
    </w:p>
    <w:p>
      <w:r>
        <w:pict>
          <v:rect style="width:0;height:1.5pt" o:hralign="center" o:hrstd="t" o:hr="t"/>
        </w:pict>
      </w:r>
    </w:p>
    <w:bookmarkEnd w:id="26"/>
    <w:bookmarkStart w:id="27" w:name="реалистичный-календарный-план"/>
    <w:p>
      <w:pPr>
        <w:pStyle w:val="Heading2"/>
      </w:pPr>
      <w:r>
        <w:t xml:space="preserve">Реалистичный календарный план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Профиль организации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Ориентир до первой юридически значимой аттестации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С профсоюзом (нужен цикл ст. 372)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3-6 недель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Без профсоюза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 недели</w:t>
            </w:r>
          </w:p>
        </w:tc>
      </w:tr>
    </w:tbl>
    <w:p>
      <w:pPr>
        <w:pStyle w:val="BodyText"/>
      </w:pPr>
      <w:r>
        <w:t xml:space="preserve">Сроки – ориентировочные и зависят от численности, готовности юриста и графика сбора подписей. Обещания</w:t>
      </w:r>
      <w:r>
        <w:t xml:space="preserve"> </w:t>
      </w:r>
      <w:r>
        <w:t xml:space="preserve">“</w:t>
      </w:r>
      <w:r>
        <w:t xml:space="preserve">ЛНА за один день</w:t>
      </w:r>
      <w:r>
        <w:t xml:space="preserve">”</w:t>
      </w:r>
      <w:r>
        <w:t xml:space="preserve"> </w:t>
      </w:r>
      <w:r>
        <w:t xml:space="preserve">к юридически значимой аттестации не относятся: за день адаптируется текст, но не проходит процедура.</w:t>
      </w:r>
    </w:p>
    <w:p>
      <w:r>
        <w:pict>
          <v:rect style="width:0;height:1.5pt" o:hralign="center" o:hrstd="t" o:hr="t"/>
        </w:pict>
      </w:r>
    </w:p>
    <w:bookmarkEnd w:id="27"/>
    <w:bookmarkStart w:id="28" w:name="Xd1b258c57f14bfd32d4f3a4355e3377a1862284"/>
    <w:p>
      <w:pPr>
        <w:pStyle w:val="Heading2"/>
      </w:pPr>
      <w:r>
        <w:t xml:space="preserve">Платформенная часть: что настроить и синхронизировать с ЛНА</w:t>
      </w:r>
    </w:p>
    <w:p>
      <w:pPr>
        <w:pStyle w:val="FirstParagraph"/>
      </w:pPr>
      <w:r>
        <w:rPr>
          <w:bCs/>
          <w:b/>
        </w:rPr>
        <w:t xml:space="preserve">Режим прозрачности.</w:t>
      </w:r>
      <w:r>
        <w:t xml:space="preserve"> </w:t>
      </w:r>
      <w:r>
        <w:t xml:space="preserve">Выберите режим работы протокола. Рекомендуется открытый протокол (работник информирован о фиксации и является участником процедуры) – это и юридически безопаснее, и снимает риск довода о скрытом наблюдении. Минимально необходимое информирование о факте и составе фиксации обеспечивается листом ознакомления и Приложением к ПВТР.</w:t>
      </w:r>
    </w:p>
    <w:p>
      <w:pPr>
        <w:pStyle w:val="BodyText"/>
      </w:pPr>
      <w:r>
        <w:rPr>
          <w:bCs/>
          <w:b/>
        </w:rPr>
        <w:t xml:space="preserve">Перечень фиксируемых данных = ЛНА.</w:t>
      </w:r>
      <w:r>
        <w:t xml:space="preserve"> </w:t>
      </w:r>
      <w:r>
        <w:t xml:space="preserve">Конфигурация Платформы должна дословно соответствовать перечню данных в Приложении к ПВТР: если функция фиксации отключена – ее нет в перечне; если включена – она в перечне. Расхождение между фактической конфигурацией и ЛНА – это задокументированный самим работодателем порок информирования. Приложение к ПВТР – единственный эталон перечня; Положение и уведомления ссылаются на него, а не дублируют своими редакциями.</w:t>
      </w:r>
    </w:p>
    <w:p>
      <w:pPr>
        <w:pStyle w:val="BodyText"/>
      </w:pPr>
      <w:r>
        <w:rPr>
          <w:bCs/>
          <w:b/>
        </w:rPr>
        <w:t xml:space="preserve">Доступ к данным прохождения.</w:t>
      </w:r>
      <w:r>
        <w:t xml:space="preserve"> </w:t>
      </w:r>
      <w:r>
        <w:t xml:space="preserve">Ограничьте круг лиц, имеющих доступ к детальным данным прохождения и сигналам, кругом, определенным в ЛНА (ст. 88 ТК РФ). Не раздавайте доступ к этим данным шире, чем заявлено.</w:t>
      </w:r>
    </w:p>
    <w:p>
      <w:pPr>
        <w:pStyle w:val="BodyText"/>
      </w:pPr>
      <w:r>
        <w:rPr>
          <w:bCs/>
          <w:b/>
        </w:rPr>
        <w:t xml:space="preserve">Сроки хранения.</w:t>
      </w:r>
      <w:r>
        <w:t xml:space="preserve"> </w:t>
      </w:r>
      <w:r>
        <w:t xml:space="preserve">Разделите сроки: протоколы и решения хранятся длительно (как документы по личному составу), детальные поведенческие записи – короче (ориентир – 6-12 месяцев) с переходом в агрегаты. Единый длительный срок для сырых данных избыточен (ст. 5 ФЗ-152).</w:t>
      </w:r>
    </w:p>
    <w:p>
      <w:pPr>
        <w:pStyle w:val="BodyText"/>
      </w:pPr>
      <w:r>
        <w:rPr>
          <w:bCs/>
          <w:b/>
        </w:rPr>
        <w:t xml:space="preserve">Психометрика – вне аттестации.</w:t>
      </w:r>
      <w:r>
        <w:t xml:space="preserve"> </w:t>
      </w:r>
      <w:r>
        <w:t xml:space="preserve">Не включайте в аттестационные курсы блоки оценки личностных качеств, психологических характеристик и эмоциональных реакций. Результаты аттестации должны формироваться исключительно на основе проверки профессиональных знаний и навыков; это закрепляется в Положении и ПВТР и обеспечивается настройкой курсов.</w:t>
      </w:r>
    </w:p>
    <w:p>
      <w:r>
        <w:pict>
          <v:rect style="width:0;height:1.5pt" o:hralign="center" o:hrstd="t" o:hr="t"/>
        </w:pict>
      </w:r>
    </w:p>
    <w:bookmarkEnd w:id="28"/>
    <w:bookmarkStart w:id="29" w:name="чего-не-делать"/>
    <w:p>
      <w:pPr>
        <w:pStyle w:val="Heading2"/>
      </w:pPr>
      <w:r>
        <w:t xml:space="preserve">Чего не делать</w:t>
      </w:r>
    </w:p>
    <w:p>
      <w:pPr>
        <w:numPr>
          <w:ilvl w:val="0"/>
          <w:numId w:val="1001"/>
        </w:numPr>
        <w:pStyle w:val="Compact"/>
      </w:pPr>
      <w:r>
        <w:t xml:space="preserve">Не запускать аттестацию до сбора подписей об ознакомлении.</w:t>
      </w:r>
    </w:p>
    <w:p>
      <w:pPr>
        <w:numPr>
          <w:ilvl w:val="0"/>
          <w:numId w:val="1001"/>
        </w:numPr>
        <w:pStyle w:val="Compact"/>
      </w:pPr>
      <w:r>
        <w:t xml:space="preserve">Не пропускать цикл ст. 372 при наличии профсоюза, ссылаясь на скорость внедрения.</w:t>
      </w:r>
    </w:p>
    <w:p>
      <w:pPr>
        <w:numPr>
          <w:ilvl w:val="0"/>
          <w:numId w:val="1001"/>
        </w:numPr>
        <w:pStyle w:val="Compact"/>
      </w:pPr>
      <w:r>
        <w:t xml:space="preserve">Не обещать работникам и руководству конкретные сроки и исходы кадровых решений.</w:t>
      </w:r>
    </w:p>
    <w:p>
      <w:pPr>
        <w:numPr>
          <w:ilvl w:val="0"/>
          <w:numId w:val="1001"/>
        </w:numPr>
        <w:pStyle w:val="Compact"/>
      </w:pPr>
      <w:r>
        <w:t xml:space="preserve">Не описывать в ЛНА фиксацию</w:t>
      </w:r>
      <w:r>
        <w:t xml:space="preserve"> </w:t>
      </w:r>
      <w:r>
        <w:t xml:space="preserve">“</w:t>
      </w:r>
      <w:r>
        <w:t xml:space="preserve">с запасом</w:t>
      </w:r>
      <w:r>
        <w:t xml:space="preserve">”</w:t>
      </w:r>
      <w:r>
        <w:t xml:space="preserve"> </w:t>
      </w:r>
      <w:r>
        <w:t xml:space="preserve">(того, что не собирается) и не умалчивать о том, что собирается.</w:t>
      </w:r>
    </w:p>
    <w:p>
      <w:r>
        <w:pict>
          <v:rect style="width:0;height:1.5pt" o:hralign="center" o:hrstd="t" o:hr="t"/>
        </w:pict>
      </w:r>
    </w:p>
    <w:bookmarkEnd w:id="29"/>
    <w:bookmarkStart w:id="30" w:name="методические-указания-по-применению"/>
    <w:p>
      <w:pPr>
        <w:pStyle w:val="Heading2"/>
      </w:pPr>
      <w:r>
        <w:t xml:space="preserve">Методические указания по применению</w:t>
      </w:r>
    </w:p>
    <w:p>
      <w:pPr>
        <w:pStyle w:val="FirstParagraph"/>
      </w:pPr>
      <w:r>
        <w:rPr>
          <w:bCs/>
          <w:b/>
        </w:rPr>
        <w:t xml:space="preserve">Порядок шагов – не формальность.</w:t>
      </w:r>
      <w:r>
        <w:t xml:space="preserve"> </w:t>
      </w:r>
      <w:r>
        <w:t xml:space="preserve">Юридическую силу результатам аттестации придает именно последовательность: ЛНА приняты с учетом мнения профсоюза, комиссия создана, работники ознакомлены под подпись – и только потом назначена аттестация. Нарушение порядка (например, аттестация до ознакомления) обесценивает результат независимо от его содержания.</w:t>
      </w:r>
    </w:p>
    <w:p>
      <w:pPr>
        <w:pStyle w:val="BodyText"/>
      </w:pPr>
      <w:r>
        <w:rPr>
          <w:bCs/>
          <w:b/>
        </w:rPr>
        <w:t xml:space="preserve">Связь с документами комплекта.</w:t>
      </w:r>
      <w:r>
        <w:t xml:space="preserve"> </w:t>
      </w:r>
      <w:r>
        <w:t xml:space="preserve">Шаги 1-4 опираются на документы стадии</w:t>
      </w:r>
      <w:r>
        <w:t xml:space="preserve"> </w:t>
      </w:r>
      <w:r>
        <w:t xml:space="preserve">“</w:t>
      </w:r>
      <w:r>
        <w:t xml:space="preserve">Внедрение</w:t>
      </w:r>
      <w:r>
        <w:t xml:space="preserve">”</w:t>
      </w:r>
      <w:r>
        <w:t xml:space="preserve"> </w:t>
      </w:r>
      <w:r>
        <w:t xml:space="preserve">(Положение, Приложение к ПВТР, лист ознакомления, приказ о создании комиссии). Шаги 5-6 – на документы стадий</w:t>
      </w:r>
      <w:r>
        <w:t xml:space="preserve"> </w:t>
      </w:r>
      <w:r>
        <w:t xml:space="preserve">“</w:t>
      </w:r>
      <w:r>
        <w:t xml:space="preserve">Проведение</w:t>
      </w:r>
      <w:r>
        <w:t xml:space="preserve">”</w:t>
      </w:r>
      <w:r>
        <w:t xml:space="preserve"> </w:t>
      </w:r>
      <w:r>
        <w:t xml:space="preserve">(приказ о назначении, уведомление, протокол комиссии). Кадровые решения после – по чек-листу процедуры и документам стадий</w:t>
      </w:r>
      <w:r>
        <w:t xml:space="preserve"> </w:t>
      </w:r>
      <w:r>
        <w:t xml:space="preserve">“</w:t>
      </w:r>
      <w:r>
        <w:t xml:space="preserve">Реакция</w:t>
      </w:r>
      <w:r>
        <w:t xml:space="preserve">”</w:t>
      </w:r>
      <w:r>
        <w:t xml:space="preserve"> </w:t>
      </w:r>
      <w:r>
        <w:t xml:space="preserve">и</w:t>
      </w:r>
      <w:r>
        <w:t xml:space="preserve"> </w:t>
      </w:r>
      <w:r>
        <w:t xml:space="preserve">“</w:t>
      </w:r>
      <w:r>
        <w:t xml:space="preserve">Кадровое решение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На проверку юристу.</w:t>
      </w:r>
      <w:r>
        <w:t xml:space="preserve"> </w:t>
      </w:r>
      <w:r>
        <w:t xml:space="preserve">Конкретные сроки в вашем календарном плане, порядок учета мнения профсоюза и допустимая для вашей организации конфигурация фиксации согласуются с юристом до запуска. Сроки в таблице – ориентир практики, а не обязательство.</w:t>
      </w:r>
    </w:p>
    <w:bookmarkEnd w:id="30"/>
    <w:bookmarkEnd w:id="31"/>
    <w:sectPr>
      <w:footerReference r:id="rId9" w:type="default"/>
      <w:pgSz w:h="16838" w:w="11906"/>
      <w:pgMar w:bottom="1134" w:footer="567" w:gutter="0" w:header="708" w:left="1701" w:right="85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pBdr>
        <w:top w:val="single" w:sz="4" w:space="4" w:color="BFBFBF"/>
      </w:pBdr>
      <w:jc w:val="cen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 xml:space="preserve">Методический шаблон AssessLearn, версия 1.0 от 12.06.2026. Требует адаптации и проверки юристом. Не является юридической услугой.</w:t>
    </w:r>
  </w:p>
  <w:p>
    <w:pPr>
      <w:jc w:val="cen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fldChar w:fldCharType="begin"/>
    </w:r>
    <w:r>
      <w:rPr>
        <w:rFonts w:ascii="Arial" w:hAnsi="Arial" w:cs="Arial"/>
        <w:color w:val="808080"/>
        <w:sz w:val="16"/>
      </w:rPr>
      <w:instrText xml:space="preserve"> PAGE </w:instrText>
    </w:r>
    <w:r>
      <w:rPr>
        <w:rFonts w:ascii="Arial" w:hAnsi="Arial" w:cs="Arial"/>
        <w:color w:val="808080"/>
        <w:sz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cs="Arial" w:eastAsia="Arial" w:hAnsi="Arial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2026-06-12T14:29:40Z</dcterms:created>
  <dcterms:modified xsi:type="dcterms:W3CDTF">2026-06-12T14:29:40Z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